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965960" cy="595905"/>
            <wp:docPr id="1" name="Picture 1" descr="Frontiers Simulations exact logo"/>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965960" cy="595905"/>
                    </a:xfrm>
                    <a:prstGeom prst="rect"/>
                  </pic:spPr>
                </pic:pic>
              </a:graphicData>
            </a:graphic>
          </wp:inline>
        </w:drawing>
      </w:r>
    </w:p>
    <w:p>
      <w:pPr>
        <w:pStyle w:val="Title"/>
      </w:pPr>
      <w:r>
        <w:t>The Civic Machine Student Worksheet</w:t>
      </w:r>
    </w:p>
    <w:p>
      <w:r>
        <w:t>Created by Yoav Duman</w:t>
      </w:r>
    </w:p>
    <w:p>
      <w:r>
        <w:t>No advance reading is needed. Read the explanations inside the simulation, then use this worksheet for your study notes, evidence, calculations and decisions. Journal articles are optional. Continue in the player for later records and activities. Leave missing evidence visibly unknown.</w:t>
      </w:r>
    </w:p>
    <w:p>
      <w:r>
        <w:t>Name or group ____________________    Date ____________________</w:t>
      </w:r>
    </w:p>
    <w:p>
      <w:pPr>
        <w:pStyle w:val="Heading1"/>
      </w:pPr>
      <w:r>
        <w:t>Source A</w:t>
      </w:r>
    </w:p>
    <w:p>
      <w:r>
        <w:t>Use the Article A explanation here; no journal reading is required.</w:t>
        <w:br/>
        <w:t>1. What did people compare and rate: an AI-written statement or a statement from a trained participant? How was critique used?</w:t>
        <w:br/>
        <w:t>2. Explain the difference between liking a statement, changing a view, and having a minority view included in the wording. Give one example of wording and a separate example of decision-making power.</w:t>
        <w:br/>
        <w:t>3. What does the study help a public institution understand? What does it leave unsettled?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Source B</w:t>
      </w:r>
    </w:p>
    <w:p>
      <w:r>
        <w:t>Use the Article B explanation here; no journal reading is required.</w:t>
        <w:br/>
        <w:t>1. What position was the AI told to support, and which advocacy conditions were compared? What response did researchers measure?</w:t>
        <w:br/>
        <w:t>2. Describe one test that changed an advocacy strategy. What did that test help explain?</w:t>
        <w:br/>
        <w:t>3. Name a group or real-world outcome that the study did not test.</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1"/>
      </w:pPr>
      <w:r>
        <w:t>Comparison of the studies</w:t>
      </w:r>
    </w:p>
    <w:p>
      <w:r>
        <w:t>Use the two article explanations here; no journal reading is required.</w:t>
        <w:br/>
        <w:t>1. Choose one claim an institution might make about an AI conversation.</w:t>
        <w:br/>
        <w:t>2. Use a specific finding from each explanation to assess that same claim. Explain what each adds.</w:t>
        <w:br/>
        <w:t>3. What can you reasonably conclude, and which question about authority or fairness remains for the institution to decide?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first explanation</w:t>
      </w:r>
    </w:p>
    <w:p>
      <w:pPr>
        <w:pStyle w:val="Heading2"/>
      </w:pPr>
      <w:r>
        <w:t>Your explanation</w:t>
      </w:r>
    </w:p>
    <w:p>
      <w:r>
        <w:t>Who acts, what do they do, and how could that produce the result? Separate details in the records from links you are proposing.</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What else could produce the same result? Explain what that account predicts and whether both explanations could contribute.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prediction</w:t>
      </w:r>
    </w:p>
    <w:p>
      <w:r>
        <w:t>Which next record or comparison could help you tell the two explanations apart? Say what you expect under each and what must be alike for the comparison to be fair.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Graph and evidence notes</w:t>
      </w:r>
    </w:p>
    <w:p>
      <w:r>
        <w:t>Read the graph or table. Before calculating, identify what is measured, who is counted and the dates. Keep what the records show separate from your explanation of why it happened.</w:t>
      </w:r>
    </w:p>
    <w:tbl>
      <w:tblPr>
        <w:tblW w:type="auto" w:w="0"/>
        <w:jc w:val="center"/>
        <w:tblLayout w:type="fixed"/>
        <w:tblLook w:firstColumn="1" w:firstRow="1" w:lastColumn="0" w:lastRow="0" w:noHBand="0" w:noVBand="1" w:val="04A0"/>
      </w:tblPr>
      <w:tblGrid>
        <w:gridCol w:w="3384"/>
        <w:gridCol w:w="5976"/>
      </w:tblGrid>
      <w:tr>
        <w:trPr>
          <w:tblHeader/>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Element to identify</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Your record</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Question and measured outcome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Who or what each record describes</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Dates or observation window</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Number counted and whole group for a percentage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Weight or comparison group</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Axis label and unit</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Who is missing or included selectively</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What must be alike for a fair comparison</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bl>
    <w:p>
      <w:pPr>
        <w:pStyle w:val="Heading2"/>
      </w:pPr>
      <w:r>
        <w:t>Your calculation and labeled graph or table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the result means and what evidence you still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decision</w:t>
      </w:r>
    </w:p>
    <w:p>
      <w:r>
        <w:t>1. Use your authority/cost ledger to recommend a feasible service and vote procedure, with annual euros, process euros and a relative working-day plan.</w:t>
        <w:br/>
        <w:t>2. Connect eligibility, resident nominations/corrections, budget and binding vote to meaningful influence and remaining disagreement.</w:t>
        <w:br/>
        <w:t>3. State separately who rules on complaints and who owes a public answer before voting.</w:t>
        <w:br/>
        <w:t>4. Explain how your plan meets the access rule and both budgets; do not repeat the ledger verbatim.</w:t>
      </w:r>
    </w:p>
    <w:p>
      <w:pPr>
        <w:pStyle w:val="Heading2"/>
      </w:pPr>
      <w:r>
        <w:t>Your choice who can act and what it costs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reasons an alternative and when you would reconsider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Try your explanation in a new case</w:t>
      </w:r>
    </w:p>
    <w:p>
      <w:r>
        <w:t>Complete these notes before opening the unfamiliar dossier later record. Work from the initial records you have received; do not invent a motive, consequence or missing datum.</w:t>
      </w:r>
    </w:p>
    <w:p>
      <w:pPr>
        <w:pStyle w:val="Heading2"/>
      </w:pPr>
      <w:r>
        <w:t>Mechanism</w:t>
      </w:r>
    </w:p>
    <w:p>
      <w:r>
        <w:t>Explain who acts, which rules or powers they use, and how that could produce the result in this new case. Use the relevant dates and protections.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Give another plausible explanation for that same result. Which step or timing would differ? What evidence would you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Evidence that would distinguish the explanations</w:t>
      </w:r>
    </w:p>
    <w:p>
      <w:r>
        <w:t>Propose evidence that could distinguish your explanations. What would each lead you to expect? Name the people or records, dates, what must be comparable, one possible problem with selecting cases, and a right you must preserve.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Revision and reflection</w:t>
      </w:r>
    </w:p>
    <w:p>
      <w:pPr>
        <w:pStyle w:val="Heading2"/>
      </w:pPr>
      <w:r>
        <w:t>Which earlier conclusion do you now keep narrow change or leave undecided and why</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does the evidence show and what is still only a possible consequence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remains uncertain and which fair comparison could help you decide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Save and submit separately</w:t>
      </w:r>
    </w:p>
    <w:p>
      <w:r>
        <w:t>First use 'Print / save as PDF' or 'Download brief (.txt)' and inspect the resulting file. Then open the separate Canvas assignment and upload the format your instructor requests. Return to Canvas to check the submission confirmation. Saving in the player or downloading a file does not submit to Canvas. The progress JSON is a backup; submit it only if the assignment explicitly requests it.</w:t>
      </w:r>
    </w:p>
    <w:p>
      <w:r>
        <w:t>Keep the progress JSON as an editable backup. A device save, an optional private online draft and a consented hosted-class snapshot are different records.</w:t>
      </w:r>
    </w:p>
    <w:sectPr w:rsidR="00FC693F" w:rsidRPr="0006063C" w:rsidSect="00034616">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drawing>
        <wp:inline xmlns:a="http://schemas.openxmlformats.org/drawingml/2006/main" xmlns:pic="http://schemas.openxmlformats.org/drawingml/2006/picture">
          <wp:extent cx="1005840" cy="304882"/>
          <wp:docPr id="1" name="Picture 1" descr="Frontiers Simulations exact monochrome logo"/>
          <wp:cNvGraphicFramePr>
            <a:graphicFrameLocks noChangeAspect="1"/>
          </wp:cNvGraphicFramePr>
          <a:graphic>
            <a:graphicData uri="http://schemas.openxmlformats.org/drawingml/2006/picture">
              <pic:pic>
                <pic:nvPicPr>
                  <pic:cNvPr id="0" name="logo-monochrome.png"/>
                  <pic:cNvPicPr/>
                </pic:nvPicPr>
                <pic:blipFill>
                  <a:blip r:embed="rId1"/>
                  <a:stretch>
                    <a:fillRect/>
                  </a:stretch>
                </pic:blipFill>
                <pic:spPr>
                  <a:xfrm>
                    <a:off x="0" y="0"/>
                    <a:ext cx="1005840" cy="304882"/>
                  </a:xfrm>
                  <a:prstGeom prst="rect"/>
                </pic:spPr>
              </pic:pic>
            </a:graphicData>
          </a:graphic>
        </wp:inline>
      </w:drawing>
    </w:r>
    <w:r>
      <w:rPr>
        <w:sz w:val="16"/>
      </w:rPr>
      <w:t xml:space="preserve">    Created by Yoav Duman    </w:t>
    </w:r>
    <w:r>
      <w:rPr>
        <w:sz w:val="16"/>
      </w:rPr>
      <w:drawing>
        <wp:inline xmlns:a="http://schemas.openxmlformats.org/drawingml/2006/main" xmlns:pic="http://schemas.openxmlformats.org/drawingml/2006/picture">
          <wp:extent cx="228600" cy="228600"/>
          <wp:docPr id="2" name="Picture 2" descr="Frontiers Simulations exact monogram"/>
          <wp:cNvGraphicFramePr>
            <a:graphicFrameLocks noChangeAspect="1"/>
          </wp:cNvGraphicFramePr>
          <a:graphic>
            <a:graphicData uri="http://schemas.openxmlformats.org/drawingml/2006/picture">
              <pic:pic>
                <pic:nvPicPr>
                  <pic:cNvPr id="0" name="mark.png"/>
                  <pic:cNvPicPr/>
                </pic:nvPicPr>
                <pic:blipFill>
                  <a:blip r:embed="rId2"/>
                  <a:stretch>
                    <a:fillRect/>
                  </a:stretch>
                </pic:blipFill>
                <pic:spPr>
                  <a:xfrm>
                    <a:off x="0" y="0"/>
                    <a:ext cx="228600" cy="228600"/>
                  </a:xfrm>
                  <a:prstGeom prst="rect"/>
                </pic:spPr>
              </pic:pic>
            </a:graphicData>
          </a:graphic>
        </wp:inline>
      </w:drawing>
    </w:r>
    <w:r>
      <w:rPr>
        <w:sz w:val="16"/>
      </w:rP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DejaVu Sans" w:hAnsi="DejaVu Sans"/>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76" w:lineRule="auto"/>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line="276" w:lineRule="auto"/>
      <w:outlineLvl w:val="1"/>
    </w:pPr>
    <w:rPr>
      <w:rFonts w:asciiTheme="majorHAnsi" w:eastAsiaTheme="majorEastAsia" w:hAnsiTheme="majorHAnsi" w:cstheme="majorBidi" w:ascii="DejaVu Sans" w:hAnsi="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60" w:line="276" w:lineRule="auto"/>
      <w:outlineLvl w:val="2"/>
    </w:pPr>
    <w:rPr>
      <w:rFonts w:asciiTheme="majorHAnsi" w:eastAsiaTheme="majorEastAsia" w:hAnsiTheme="majorHAnsi" w:cstheme="majorBidi" w:ascii="DejaVu Sans" w:hAnsi="DejaVu Sans"/>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76" w:lineRule="auto" w:before="0"/>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76" w:lineRule="auto"/>
    </w:pPr>
    <w:rPr>
      <w:rFonts w:asciiTheme="majorHAnsi" w:eastAsiaTheme="majorEastAsia" w:hAnsiTheme="majorHAnsi" w:cstheme="majorBidi" w:ascii="DejaVu Sans" w:hAnsi="DejaVu Sans"/>
      <w:i/>
      <w:iCs/>
      <w:color w:val="000000"/>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Civic Machine Student Worksheet</dc:title>
  <dc:subject>Editable source evidence and revision notes</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