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pageBreakBefore w:val="0"/>
        <w:spacing w:after="60"/>
      </w:pPr>
      <w:r>
        <w:rPr>
          <w:rFonts w:ascii="Arial" w:hAnsi="Arial" w:eastAsia="Arial" w:cs="Arial"/>
          <w:b/>
          <w:color w:val="000000"/>
          <w:sz w:val="34"/>
        </w:rPr>
        <w:t>The Shared Country Answers and Outcomes</w:t>
      </w:r>
    </w:p>
    <w:p>
      <w:pPr>
        <w:pStyle w:val="Heading1"/>
        <w:keepNext/>
        <w:spacing w:before="80" w:after="40"/>
      </w:pPr>
      <w:r>
        <w:rPr>
          <w:rFonts w:ascii="Arial" w:hAnsi="Arial" w:eastAsia="Arial" w:cs="Arial"/>
          <w:b/>
          <w:color w:val="000000"/>
          <w:sz w:val="24"/>
        </w:rPr>
        <w:t>Opening and A</w:t>
      </w:r>
    </w:p>
    <w:p>
      <w:pPr>
        <w:keepNext w:val="0"/>
        <w:widowControl w:val="0"/>
        <w:spacing w:before="0" w:after="80" w:line="248" w:lineRule="exact"/>
      </w:pPr>
      <w:r>
        <w:rPr>
          <w:rFonts w:ascii="Arial" w:hAnsi="Arial" w:eastAsia="Arial" w:cs="Arial"/>
          <w:b w:val="0"/>
          <w:color w:val="000000"/>
          <w:sz w:val="21"/>
        </w:rPr>
        <w:t>Opening: No. Elections alone do not protect regional powers against ordinary National withdrawal. Federalism combines protected national and regional authority with participation in common government. A: accept a priority and reason grounded in the assigned role; no single policy preference is required.</w:t>
      </w:r>
    </w:p>
    <w:p>
      <w:pPr>
        <w:pStyle w:val="Heading1"/>
        <w:keepNext/>
        <w:spacing w:before="80" w:after="40"/>
      </w:pPr>
      <w:r>
        <w:rPr>
          <w:rFonts w:ascii="Arial" w:hAnsi="Arial" w:eastAsia="Arial" w:cs="Arial"/>
          <w:b/>
          <w:color w:val="000000"/>
          <w:sz w:val="24"/>
        </w:rPr>
        <w:t>B Constitutional change and C Flood action</w:t>
      </w:r>
    </w:p>
    <w:p>
      <w:pPr>
        <w:keepNext w:val="0"/>
        <w:widowControl w:val="0"/>
        <w:spacing w:before="0" w:after="80" w:line="248" w:lineRule="exact"/>
      </w:pPr>
      <w:r>
        <w:rPr>
          <w:rFonts w:ascii="Arial" w:hAnsi="Arial" w:eastAsia="Arial" w:cs="Arial"/>
          <w:b w:val="0"/>
          <w:color w:val="000000"/>
          <w:sz w:val="21"/>
        </w:rPr>
        <w:t>B and D: National plus at least two regions must choose the SAME changed option. Split support, a simple majority without National, abstention or an invalid signal cannot enact change. B default: Regional. D default: Local. Only four governments vote.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72"/>
        <w:gridCol w:w="8842"/>
      </w:tblGrid>
      <w:tr>
        <w:trPr>
          <w:cantSplit/>
          <w:tblHeader/>
        </w:trPr>
        <w:tc>
          <w:tcPr>
            <w:tcW w:type="dxa" w:w="1872"/>
            <w:vAlign w:val="center"/>
            <w:tcMar>
              <w:top w:w="40" w:type="dxa"/>
              <w:bottom w:w="40" w:type="dxa"/>
              <w:left w:w="80" w:type="dxa"/>
              <w:right w:w="8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F2F4"/>
          </w:tcPr>
          <w:p>
            <w:pPr>
              <w:widowControl w:val="0"/>
              <w:spacing w:before="0" w:after="0" w:line="232" w:lineRule="exact"/>
            </w:pPr>
            <w:r>
              <w:rPr>
                <w:rFonts w:ascii="Arial" w:hAnsi="Arial" w:eastAsia="Arial" w:cs="Arial"/>
                <w:b/>
                <w:color w:val="000000"/>
                <w:sz w:val="20"/>
              </w:rPr>
              <w:t>Actual B rule</w:t>
            </w:r>
          </w:p>
        </w:tc>
        <w:tc>
          <w:tcPr>
            <w:tcW w:type="dxa" w:w="8842"/>
            <w:vAlign w:val="center"/>
            <w:tcMar>
              <w:top w:w="40" w:type="dxa"/>
              <w:bottom w:w="40" w:type="dxa"/>
              <w:left w:w="80" w:type="dxa"/>
              <w:right w:w="8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F2F4"/>
          </w:tcPr>
          <w:p>
            <w:pPr>
              <w:widowControl w:val="0"/>
              <w:spacing w:before="0" w:after="0" w:line="232" w:lineRule="exact"/>
            </w:pPr>
            <w:r>
              <w:rPr>
                <w:rFonts w:ascii="Arial" w:hAnsi="Arial" w:eastAsia="Arial" w:cs="Arial"/>
                <w:b/>
                <w:color w:val="000000"/>
                <w:sz w:val="20"/>
              </w:rPr>
              <w:t>Who can authorize Open</w:t>
            </w:r>
          </w:p>
        </w:tc>
      </w:tr>
      <w:tr>
        <w:trPr>
          <w:cantSplit/>
        </w:trPr>
        <w:tc>
          <w:tcPr>
            <w:tcW w:type="dxa" w:w="1872"/>
            <w:vAlign w:val="center"/>
            <w:tcMar>
              <w:top w:w="40" w:type="dxa"/>
              <w:bottom w:w="40" w:type="dxa"/>
              <w:left w:w="80" w:type="dxa"/>
              <w:right w:w="8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widowControl w:val="0"/>
              <w:spacing w:before="0" w:after="0" w:line="232" w:lineRule="exact"/>
            </w:pPr>
            <w:r>
              <w:rPr>
                <w:rFonts w:ascii="Arial" w:hAnsi="Arial" w:eastAsia="Arial" w:cs="Arial"/>
                <w:b w:val="0"/>
                <w:color w:val="000000"/>
                <w:sz w:val="20"/>
              </w:rPr>
              <w:t>National</w:t>
            </w:r>
          </w:p>
        </w:tc>
        <w:tc>
          <w:tcPr>
            <w:tcW w:type="dxa" w:w="8842"/>
            <w:vAlign w:val="center"/>
            <w:tcMar>
              <w:top w:w="40" w:type="dxa"/>
              <w:bottom w:w="40" w:type="dxa"/>
              <w:left w:w="80" w:type="dxa"/>
              <w:right w:w="8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widowControl w:val="0"/>
              <w:spacing w:before="0" w:after="0" w:line="232" w:lineRule="exact"/>
            </w:pPr>
            <w:r>
              <w:rPr>
                <w:rFonts w:ascii="Arial" w:hAnsi="Arial" w:eastAsia="Arial" w:cs="Arial"/>
                <w:b w:val="0"/>
                <w:color w:val="000000"/>
                <w:sz w:val="20"/>
              </w:rPr>
              <w:t>National alone</w:t>
            </w:r>
          </w:p>
        </w:tc>
      </w:tr>
      <w:tr>
        <w:trPr>
          <w:cantSplit/>
        </w:trPr>
        <w:tc>
          <w:tcPr>
            <w:tcW w:type="dxa" w:w="1872"/>
            <w:vAlign w:val="center"/>
            <w:tcMar>
              <w:top w:w="40" w:type="dxa"/>
              <w:bottom w:w="40" w:type="dxa"/>
              <w:left w:w="80" w:type="dxa"/>
              <w:right w:w="8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widowControl w:val="0"/>
              <w:spacing w:before="0" w:after="0" w:line="232" w:lineRule="exact"/>
            </w:pPr>
            <w:r>
              <w:rPr>
                <w:rFonts w:ascii="Arial" w:hAnsi="Arial" w:eastAsia="Arial" w:cs="Arial"/>
                <w:b w:val="0"/>
                <w:color w:val="000000"/>
                <w:sz w:val="20"/>
              </w:rPr>
              <w:t>Regional</w:t>
            </w:r>
          </w:p>
        </w:tc>
        <w:tc>
          <w:tcPr>
            <w:tcW w:type="dxa" w:w="8842"/>
            <w:vAlign w:val="center"/>
            <w:tcMar>
              <w:top w:w="40" w:type="dxa"/>
              <w:bottom w:w="40" w:type="dxa"/>
              <w:left w:w="80" w:type="dxa"/>
              <w:right w:w="8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widowControl w:val="0"/>
              <w:spacing w:before="0" w:after="0" w:line="232" w:lineRule="exact"/>
            </w:pPr>
            <w:r>
              <w:rPr>
                <w:rFonts w:ascii="Arial" w:hAnsi="Arial" w:eastAsia="Arial" w:cs="Arial"/>
                <w:b w:val="0"/>
                <w:color w:val="000000"/>
                <w:sz w:val="20"/>
              </w:rPr>
              <w:t>Plain alone; it may cooperate voluntarily</w:t>
            </w:r>
          </w:p>
        </w:tc>
      </w:tr>
      <w:tr>
        <w:trPr>
          <w:cantSplit/>
        </w:trPr>
        <w:tc>
          <w:tcPr>
            <w:tcW w:type="dxa" w:w="1872"/>
            <w:vAlign w:val="center"/>
            <w:tcMar>
              <w:top w:w="40" w:type="dxa"/>
              <w:bottom w:w="40" w:type="dxa"/>
              <w:left w:w="80" w:type="dxa"/>
              <w:right w:w="8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widowControl w:val="0"/>
              <w:spacing w:before="0" w:after="0" w:line="232" w:lineRule="exact"/>
            </w:pPr>
            <w:r>
              <w:rPr>
                <w:rFonts w:ascii="Arial" w:hAnsi="Arial" w:eastAsia="Arial" w:cs="Arial"/>
                <w:b w:val="0"/>
                <w:color w:val="000000"/>
                <w:sz w:val="20"/>
              </w:rPr>
              <w:t>Joint</w:t>
            </w:r>
          </w:p>
        </w:tc>
        <w:tc>
          <w:tcPr>
            <w:tcW w:type="dxa" w:w="8842"/>
            <w:vAlign w:val="center"/>
            <w:tcMar>
              <w:top w:w="40" w:type="dxa"/>
              <w:bottom w:w="40" w:type="dxa"/>
              <w:left w:w="80" w:type="dxa"/>
              <w:right w:w="8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widowControl w:val="0"/>
              <w:spacing w:before="0" w:after="0" w:line="232" w:lineRule="exact"/>
            </w:pPr>
            <w:r>
              <w:rPr>
                <w:rFonts w:ascii="Arial" w:hAnsi="Arial" w:eastAsia="Arial" w:cs="Arial"/>
                <w:b w:val="0"/>
                <w:color w:val="000000"/>
                <w:sz w:val="20"/>
              </w:rPr>
              <w:t>National and at least two regions explicitly support Open</w:t>
            </w:r>
          </w:p>
        </w:tc>
      </w:tr>
    </w:tbl>
    <w:p>
      <w:pPr>
        <w:keepNext w:val="0"/>
        <w:widowControl w:val="0"/>
        <w:spacing w:before="0" w:after="0" w:line="60" w:lineRule="exact"/>
      </w:pPr>
      <w:r>
        <w:rPr>
          <w:rFonts w:ascii="Arial" w:hAnsi="Arial" w:eastAsia="Arial" w:cs="Arial"/>
          <w:b w:val="0"/>
          <w:color w:val="000000"/>
          <w:sz w:val="22"/>
        </w:rPr>
      </w:r>
    </w:p>
    <w:p>
      <w:pPr>
        <w:keepNext w:val="0"/>
        <w:widowControl w:val="0"/>
        <w:spacing w:before="0" w:after="80" w:line="248" w:lineRule="exact"/>
      </w:pPr>
      <w:r>
        <w:rPr>
          <w:rFonts w:ascii="Arial" w:hAnsi="Arial" w:eastAsia="Arial" w:cs="Arial"/>
          <w:b w:val="0"/>
          <w:color w:val="000000"/>
          <w:sz w:val="21"/>
        </w:rPr>
        <w:t>No authorized Open means Hold. Open: 20 Plain farm plots flood. Hold: 80 Coast homes flood. Evacuation removes immediate injury risk. Homes and plots are unlike losses. Authority permits a decision; it does not predetermine Open or Hold.</w:t>
      </w:r>
    </w:p>
    <w:p>
      <w:pPr>
        <w:pStyle w:val="Heading1"/>
        <w:keepNext/>
        <w:spacing w:before="80" w:after="40"/>
      </w:pPr>
      <w:r>
        <w:rPr>
          <w:rFonts w:ascii="Arial" w:hAnsi="Arial" w:eastAsia="Arial" w:cs="Arial"/>
          <w:b/>
          <w:color w:val="000000"/>
          <w:sz w:val="24"/>
        </w:rPr>
        <w:t>D Clinic packages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138"/>
        <w:gridCol w:w="1685"/>
        <w:gridCol w:w="2088"/>
        <w:gridCol w:w="5803"/>
      </w:tblGrid>
      <w:tr>
        <w:trPr>
          <w:cantSplit/>
          <w:tblHeader/>
        </w:trPr>
        <w:tc>
          <w:tcPr>
            <w:tcW w:type="dxa" w:w="1138"/>
            <w:vAlign w:val="center"/>
            <w:tcMar>
              <w:top w:w="40" w:type="dxa"/>
              <w:bottom w:w="40" w:type="dxa"/>
              <w:left w:w="80" w:type="dxa"/>
              <w:right w:w="8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F2F4"/>
          </w:tcPr>
          <w:p>
            <w:pPr>
              <w:widowControl w:val="0"/>
              <w:spacing w:before="0" w:after="0" w:line="232" w:lineRule="exact"/>
            </w:pPr>
            <w:r>
              <w:rPr>
                <w:rFonts w:ascii="Arial" w:hAnsi="Arial" w:eastAsia="Arial" w:cs="Arial"/>
                <w:b/>
                <w:color w:val="000000"/>
                <w:sz w:val="20"/>
              </w:rPr>
              <w:t>Package</w:t>
            </w:r>
          </w:p>
        </w:tc>
        <w:tc>
          <w:tcPr>
            <w:tcW w:type="dxa" w:w="1685"/>
            <w:vAlign w:val="center"/>
            <w:tcMar>
              <w:top w:w="40" w:type="dxa"/>
              <w:bottom w:w="40" w:type="dxa"/>
              <w:left w:w="80" w:type="dxa"/>
              <w:right w:w="8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F2F4"/>
          </w:tcPr>
          <w:p>
            <w:pPr>
              <w:widowControl w:val="0"/>
              <w:spacing w:before="0" w:after="0" w:line="232" w:lineRule="exact"/>
            </w:pPr>
            <w:r>
              <w:rPr>
                <w:rFonts w:ascii="Arial" w:hAnsi="Arial" w:eastAsia="Arial" w:cs="Arial"/>
                <w:b/>
                <w:color w:val="000000"/>
                <w:sz w:val="20"/>
              </w:rPr>
              <w:t>Coast / Plain / Ridge</w:t>
            </w:r>
          </w:p>
        </w:tc>
        <w:tc>
          <w:tcPr>
            <w:tcW w:type="dxa" w:w="2088"/>
            <w:vAlign w:val="center"/>
            <w:tcMar>
              <w:top w:w="40" w:type="dxa"/>
              <w:bottom w:w="40" w:type="dxa"/>
              <w:left w:w="80" w:type="dxa"/>
              <w:right w:w="8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F2F4"/>
          </w:tcPr>
          <w:p>
            <w:pPr>
              <w:widowControl w:val="0"/>
              <w:spacing w:before="0" w:after="0" w:line="232" w:lineRule="exact"/>
            </w:pPr>
            <w:r>
              <w:rPr>
                <w:rFonts w:ascii="Arial" w:hAnsi="Arial" w:eastAsia="Arial" w:cs="Arial"/>
                <w:b/>
                <w:color w:val="000000"/>
                <w:sz w:val="20"/>
              </w:rPr>
              <w:t>Budget and staffing</w:t>
            </w:r>
          </w:p>
        </w:tc>
        <w:tc>
          <w:tcPr>
            <w:tcW w:type="dxa" w:w="5803"/>
            <w:vAlign w:val="center"/>
            <w:tcMar>
              <w:top w:w="40" w:type="dxa"/>
              <w:bottom w:w="40" w:type="dxa"/>
              <w:left w:w="80" w:type="dxa"/>
              <w:right w:w="8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F2F4"/>
          </w:tcPr>
          <w:p>
            <w:pPr>
              <w:widowControl w:val="0"/>
              <w:spacing w:before="0" w:after="0" w:line="232" w:lineRule="exact"/>
            </w:pPr>
            <w:r>
              <w:rPr>
                <w:rFonts w:ascii="Arial" w:hAnsi="Arial" w:eastAsia="Arial" w:cs="Arial"/>
                <w:b/>
                <w:color w:val="000000"/>
                <w:sz w:val="20"/>
              </w:rPr>
              <w:t>Central tradeoff</w:t>
            </w:r>
          </w:p>
        </w:tc>
      </w:tr>
      <w:tr>
        <w:trPr>
          <w:cantSplit/>
        </w:trPr>
        <w:tc>
          <w:tcPr>
            <w:tcW w:type="dxa" w:w="1138"/>
            <w:vAlign w:val="center"/>
            <w:tcMar>
              <w:top w:w="40" w:type="dxa"/>
              <w:bottom w:w="40" w:type="dxa"/>
              <w:left w:w="80" w:type="dxa"/>
              <w:right w:w="8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widowControl w:val="0"/>
              <w:spacing w:before="0" w:after="0" w:line="232" w:lineRule="exact"/>
            </w:pPr>
            <w:r>
              <w:rPr>
                <w:rFonts w:ascii="Arial" w:hAnsi="Arial" w:eastAsia="Arial" w:cs="Arial"/>
                <w:b w:val="0"/>
                <w:color w:val="000000"/>
                <w:sz w:val="20"/>
              </w:rPr>
              <w:t>Local</w:t>
            </w:r>
          </w:p>
        </w:tc>
        <w:tc>
          <w:tcPr>
            <w:tcW w:type="dxa" w:w="1685"/>
            <w:vAlign w:val="center"/>
            <w:tcMar>
              <w:top w:w="40" w:type="dxa"/>
              <w:bottom w:w="40" w:type="dxa"/>
              <w:left w:w="80" w:type="dxa"/>
              <w:right w:w="8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widowControl w:val="0"/>
              <w:spacing w:before="0" w:after="0" w:line="232" w:lineRule="exact"/>
            </w:pPr>
            <w:r>
              <w:rPr>
                <w:rFonts w:ascii="Arial" w:hAnsi="Arial" w:eastAsia="Arial" w:cs="Arial"/>
                <w:b w:val="0"/>
                <w:color w:val="000000"/>
                <w:sz w:val="20"/>
              </w:rPr>
              <w:t>8 / 5 / 2</w:t>
            </w:r>
          </w:p>
        </w:tc>
        <w:tc>
          <w:tcPr>
            <w:tcW w:type="dxa" w:w="2088"/>
            <w:vAlign w:val="center"/>
            <w:tcMar>
              <w:top w:w="40" w:type="dxa"/>
              <w:bottom w:w="40" w:type="dxa"/>
              <w:left w:w="80" w:type="dxa"/>
              <w:right w:w="8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widowControl w:val="0"/>
              <w:spacing w:before="0" w:after="0" w:line="232" w:lineRule="exact"/>
            </w:pPr>
            <w:r>
              <w:rPr>
                <w:rFonts w:ascii="Arial" w:hAnsi="Arial" w:eastAsia="Arial" w:cs="Arial"/>
                <w:b w:val="0"/>
                <w:color w:val="000000"/>
                <w:sz w:val="20"/>
              </w:rPr>
              <w:t>Regions</w:t>
            </w:r>
          </w:p>
        </w:tc>
        <w:tc>
          <w:tcPr>
            <w:tcW w:type="dxa" w:w="5803"/>
            <w:vAlign w:val="center"/>
            <w:tcMar>
              <w:top w:w="40" w:type="dxa"/>
              <w:bottom w:w="40" w:type="dxa"/>
              <w:left w:w="80" w:type="dxa"/>
              <w:right w:w="8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widowControl w:val="0"/>
              <w:spacing w:before="0" w:after="0" w:line="232" w:lineRule="exact"/>
            </w:pPr>
            <w:r>
              <w:rPr>
                <w:rFonts w:ascii="Arial" w:hAnsi="Arial" w:eastAsia="Arial" w:cs="Arial"/>
                <w:b w:val="0"/>
                <w:color w:val="000000"/>
                <w:sz w:val="20"/>
              </w:rPr>
              <w:t>Local revenue discretion; Ridge remains 3 below the benchmark.</w:t>
            </w:r>
          </w:p>
        </w:tc>
      </w:tr>
      <w:tr>
        <w:trPr>
          <w:cantSplit/>
        </w:trPr>
        <w:tc>
          <w:tcPr>
            <w:tcW w:type="dxa" w:w="1138"/>
            <w:vAlign w:val="center"/>
            <w:tcMar>
              <w:top w:w="40" w:type="dxa"/>
              <w:bottom w:w="40" w:type="dxa"/>
              <w:left w:w="80" w:type="dxa"/>
              <w:right w:w="8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widowControl w:val="0"/>
              <w:spacing w:before="0" w:after="0" w:line="232" w:lineRule="exact"/>
            </w:pPr>
            <w:r>
              <w:rPr>
                <w:rFonts w:ascii="Arial" w:hAnsi="Arial" w:eastAsia="Arial" w:cs="Arial"/>
                <w:b w:val="0"/>
                <w:color w:val="000000"/>
                <w:sz w:val="20"/>
              </w:rPr>
              <w:t>Pool</w:t>
            </w:r>
          </w:p>
        </w:tc>
        <w:tc>
          <w:tcPr>
            <w:tcW w:type="dxa" w:w="1685"/>
            <w:vAlign w:val="center"/>
            <w:tcMar>
              <w:top w:w="40" w:type="dxa"/>
              <w:bottom w:w="40" w:type="dxa"/>
              <w:left w:w="80" w:type="dxa"/>
              <w:right w:w="8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widowControl w:val="0"/>
              <w:spacing w:before="0" w:after="0" w:line="232" w:lineRule="exact"/>
            </w:pPr>
            <w:r>
              <w:rPr>
                <w:rFonts w:ascii="Arial" w:hAnsi="Arial" w:eastAsia="Arial" w:cs="Arial"/>
                <w:b w:val="0"/>
                <w:color w:val="000000"/>
                <w:sz w:val="20"/>
              </w:rPr>
              <w:t>5 / 5 / 5</w:t>
            </w:r>
          </w:p>
        </w:tc>
        <w:tc>
          <w:tcPr>
            <w:tcW w:type="dxa" w:w="2088"/>
            <w:vAlign w:val="center"/>
            <w:tcMar>
              <w:top w:w="40" w:type="dxa"/>
              <w:bottom w:w="40" w:type="dxa"/>
              <w:left w:w="80" w:type="dxa"/>
              <w:right w:w="8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widowControl w:val="0"/>
              <w:spacing w:before="0" w:after="0" w:line="232" w:lineRule="exact"/>
            </w:pPr>
            <w:r>
              <w:rPr>
                <w:rFonts w:ascii="Arial" w:hAnsi="Arial" w:eastAsia="Arial" w:cs="Arial"/>
                <w:b w:val="0"/>
                <w:color w:val="000000"/>
                <w:sz w:val="20"/>
              </w:rPr>
              <w:t>National</w:t>
            </w:r>
          </w:p>
        </w:tc>
        <w:tc>
          <w:tcPr>
            <w:tcW w:type="dxa" w:w="5803"/>
            <w:vAlign w:val="center"/>
            <w:tcMar>
              <w:top w:w="40" w:type="dxa"/>
              <w:bottom w:w="40" w:type="dxa"/>
              <w:left w:w="80" w:type="dxa"/>
              <w:right w:w="8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widowControl w:val="0"/>
              <w:spacing w:before="0" w:after="0" w:line="232" w:lineRule="exact"/>
            </w:pPr>
            <w:r>
              <w:rPr>
                <w:rFonts w:ascii="Arial" w:hAnsi="Arial" w:eastAsia="Arial" w:cs="Arial"/>
                <w:b w:val="0"/>
                <w:color w:val="000000"/>
                <w:sz w:val="20"/>
              </w:rPr>
              <w:t>Closes the budget gap; regions give up budget and staffing control.</w:t>
            </w:r>
          </w:p>
        </w:tc>
      </w:tr>
      <w:tr>
        <w:trPr>
          <w:cantSplit/>
        </w:trPr>
        <w:tc>
          <w:tcPr>
            <w:tcW w:type="dxa" w:w="1138"/>
            <w:vAlign w:val="center"/>
            <w:tcMar>
              <w:top w:w="40" w:type="dxa"/>
              <w:bottom w:w="40" w:type="dxa"/>
              <w:left w:w="80" w:type="dxa"/>
              <w:right w:w="8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widowControl w:val="0"/>
              <w:spacing w:before="0" w:after="0" w:line="232" w:lineRule="exact"/>
            </w:pPr>
            <w:r>
              <w:rPr>
                <w:rFonts w:ascii="Arial" w:hAnsi="Arial" w:eastAsia="Arial" w:cs="Arial"/>
                <w:b w:val="0"/>
                <w:color w:val="000000"/>
                <w:sz w:val="20"/>
              </w:rPr>
              <w:t>Equalize</w:t>
            </w:r>
          </w:p>
        </w:tc>
        <w:tc>
          <w:tcPr>
            <w:tcW w:type="dxa" w:w="1685"/>
            <w:vAlign w:val="center"/>
            <w:tcMar>
              <w:top w:w="40" w:type="dxa"/>
              <w:bottom w:w="40" w:type="dxa"/>
              <w:left w:w="80" w:type="dxa"/>
              <w:right w:w="8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widowControl w:val="0"/>
              <w:spacing w:before="0" w:after="0" w:line="232" w:lineRule="exact"/>
            </w:pPr>
            <w:r>
              <w:rPr>
                <w:rFonts w:ascii="Arial" w:hAnsi="Arial" w:eastAsia="Arial" w:cs="Arial"/>
                <w:b w:val="0"/>
                <w:color w:val="000000"/>
                <w:sz w:val="20"/>
              </w:rPr>
              <w:t>5 / 5 / 5</w:t>
            </w:r>
          </w:p>
        </w:tc>
        <w:tc>
          <w:tcPr>
            <w:tcW w:type="dxa" w:w="2088"/>
            <w:vAlign w:val="center"/>
            <w:tcMar>
              <w:top w:w="40" w:type="dxa"/>
              <w:bottom w:w="40" w:type="dxa"/>
              <w:left w:w="80" w:type="dxa"/>
              <w:right w:w="8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widowControl w:val="0"/>
              <w:spacing w:before="0" w:after="0" w:line="232" w:lineRule="exact"/>
            </w:pPr>
            <w:r>
              <w:rPr>
                <w:rFonts w:ascii="Arial" w:hAnsi="Arial" w:eastAsia="Arial" w:cs="Arial"/>
                <w:b w:val="0"/>
                <w:color w:val="000000"/>
                <w:sz w:val="20"/>
              </w:rPr>
              <w:t>Regions; public reports</w:t>
            </w:r>
          </w:p>
        </w:tc>
        <w:tc>
          <w:tcPr>
            <w:tcW w:type="dxa" w:w="5803"/>
            <w:vAlign w:val="center"/>
            <w:tcMar>
              <w:top w:w="40" w:type="dxa"/>
              <w:bottom w:w="40" w:type="dxa"/>
              <w:left w:w="80" w:type="dxa"/>
              <w:right w:w="8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widowControl w:val="0"/>
              <w:spacing w:before="0" w:after="0" w:line="232" w:lineRule="exact"/>
            </w:pPr>
            <w:r>
              <w:rPr>
                <w:rFonts w:ascii="Arial" w:hAnsi="Arial" w:eastAsia="Arial" w:cs="Arial"/>
                <w:b w:val="0"/>
                <w:color w:val="000000"/>
                <w:sz w:val="20"/>
              </w:rPr>
              <w:t>Closes the gap with regional control; binding 3-unit Coast-to-Ridge transfer.</w:t>
            </w:r>
          </w:p>
        </w:tc>
      </w:tr>
    </w:tbl>
    <w:p>
      <w:pPr>
        <w:keepNext w:val="0"/>
        <w:widowControl w:val="0"/>
        <w:spacing w:before="0" w:after="0" w:line="60" w:lineRule="exact"/>
      </w:pPr>
      <w:r>
        <w:rPr>
          <w:rFonts w:ascii="Arial" w:hAnsi="Arial" w:eastAsia="Arial" w:cs="Arial"/>
          <w:b w:val="0"/>
          <w:color w:val="000000"/>
          <w:sz w:val="22"/>
        </w:rPr>
      </w:r>
    </w:p>
    <w:p>
      <w:pPr>
        <w:keepNext w:val="0"/>
        <w:widowControl w:val="0"/>
        <w:spacing w:before="0" w:after="80" w:line="248" w:lineRule="exact"/>
      </w:pPr>
      <w:r>
        <w:rPr>
          <w:rFonts w:ascii="Arial" w:hAnsi="Arial" w:eastAsia="Arial" w:cs="Arial"/>
          <w:b w:val="0"/>
          <w:color w:val="000000"/>
          <w:sz w:val="21"/>
        </w:rPr>
        <w:t>Rationale: equal populations, similar basic needs, same tax rate, unequal tax bases. Five is a nonbinding basic-budget estimate, not a right or care guarantee. Fixed total 15. All care delivery remains regional. Equalize has no later donor veto; equal funding does not prove equal care.</w:t>
      </w:r>
    </w:p>
    <w:p>
      <w:pPr>
        <w:pStyle w:val="Heading1"/>
        <w:keepNext/>
        <w:spacing w:before="80" w:after="40"/>
      </w:pPr>
      <w:r>
        <w:rPr>
          <w:rFonts w:ascii="Arial" w:hAnsi="Arial" w:eastAsia="Arial" w:cs="Arial"/>
          <w:b/>
          <w:color w:val="000000"/>
          <w:sz w:val="24"/>
        </w:rPr>
        <w:t>E Licensing and fair assessment</w:t>
      </w:r>
    </w:p>
    <w:p>
      <w:pPr>
        <w:keepNext w:val="0"/>
        <w:widowControl w:val="0"/>
        <w:spacing w:before="0" w:after="80" w:line="248" w:lineRule="exact"/>
      </w:pPr>
      <w:r>
        <w:rPr>
          <w:rFonts w:ascii="Arial" w:hAnsi="Arial" w:eastAsia="Arial" w:cs="Arial"/>
          <w:b w:val="0"/>
          <w:color w:val="000000"/>
          <w:sz w:val="21"/>
        </w:rPr>
        <w:t>Same: Mina applies to National. Ridge only or All regions: she applies to Ridge. All regions also transfers licensing to Coast and Plain. E is a recommendation, not an enacted result. A sound fairness answer names the chosen office, a concrete check and why: compare Plain training with published requirements. Qualifications are unknown; no guaranteed licence or job. Fair review, written reasons and independent appeal bind every office.</w:t>
      </w:r>
    </w:p>
    <w:p>
      <w:pPr>
        <w:pStyle w:val="Heading1"/>
        <w:keepNext/>
        <w:spacing w:before="80" w:after="40"/>
      </w:pPr>
      <w:r>
        <w:rPr>
          <w:rFonts w:ascii="Arial" w:hAnsi="Arial" w:eastAsia="Arial" w:cs="Arial"/>
          <w:b/>
          <w:color w:val="000000"/>
          <w:sz w:val="24"/>
        </w:rPr>
        <w:t>F Pelar</w:t>
      </w:r>
    </w:p>
    <w:p>
      <w:pPr>
        <w:keepNext w:val="0"/>
        <w:widowControl w:val="0"/>
        <w:spacing w:before="0" w:after="80" w:line="248" w:lineRule="exact"/>
      </w:pPr>
      <w:r>
        <w:rPr>
          <w:rFonts w:ascii="Arial" w:hAnsi="Arial" w:eastAsia="Arial" w:cs="Arial"/>
          <w:b w:val="0"/>
          <w:color w:val="000000"/>
          <w:sz w:val="21"/>
        </w:rPr>
        <w:t>Current: Delegated, because ordinary law can withdraw clinic powers. Reform: Asymmetric, because only North gains protected fishing authority. SELF RULE: protected island health authority. SHARED RULE: guaranteed island delegates in common lawmaking. North’s protected fishing power also illustrates self-rule. Unequal clinic funding alone is not constitutional asymmetry.</w:t>
      </w:r>
    </w:p>
    <w:p>
      <w:pPr>
        <w:pStyle w:val="Heading1"/>
        <w:keepNext/>
        <w:spacing w:before="80" w:after="40"/>
      </w:pPr>
      <w:r>
        <w:rPr>
          <w:rFonts w:ascii="Arial" w:hAnsi="Arial" w:eastAsia="Arial" w:cs="Arial"/>
          <w:b/>
          <w:color w:val="000000"/>
          <w:sz w:val="24"/>
        </w:rPr>
        <w:t>G What to look for</w:t>
      </w:r>
    </w:p>
    <w:p>
      <w:pPr>
        <w:keepNext w:val="0"/>
        <w:widowControl w:val="0"/>
        <w:spacing w:before="0" w:after="80" w:line="248" w:lineRule="exact"/>
      </w:pPr>
      <w:r>
        <w:rPr>
          <w:rFonts w:ascii="Arial" w:hAnsi="Arial" w:eastAsia="Arial" w:cs="Arial"/>
          <w:b w:val="0"/>
          <w:color w:val="000000"/>
          <w:sz w:val="21"/>
        </w:rPr>
        <w:t>An actual B/C river result or D package, a plausible benefit and cost, and at least one because linking the result to an authorized actor, required consent, or budget/staffing control. Defaults are valid outcomes. Do not treat E as enacted or reward a particular amount of centralization.</w:t>
      </w:r>
    </w:p>
    <w:p>
      <w:pPr>
        <w:keepNext w:val="0"/>
        <w:widowControl w:val="0"/>
        <w:spacing w:before="0" w:after="0" w:line="248" w:lineRule="exact"/>
      </w:pPr>
      <w:r>
        <w:rPr>
          <w:rFonts w:ascii="Arial" w:hAnsi="Arial" w:eastAsia="Arial" w:cs="Arial"/>
          <w:b w:val="0"/>
          <w:color w:val="000000"/>
          <w:sz w:val="21"/>
        </w:rPr>
        <w:t>Speaking block: 80 seconds total. Four people: 20 seconds each; five: 16; six: 13, including handover. Order: National, Coast, Plain, Ridge, Advocate, Clerk.</w:t>
      </w:r>
    </w:p>
    <w:sectPr w:rsidR="00FC693F" w:rsidRPr="0006063C" w:rsidSect="00034616">
      <w:footerReference w:type="default" r:id="rId9"/>
      <w:pgSz w:w="12240" w:h="15840"/>
      <w:pgMar w:top="619" w:right="763" w:bottom="619" w:left="763" w:header="202" w:footer="21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</w:pPr>
    <w:r>
      <w:rPr>
        <w:rFonts w:ascii="Arial" w:hAnsi="Arial"/>
        <w:color w:val="555555"/>
        <w:sz w:val="16"/>
      </w:rPr>
      <w:t xml:space="preserve">Created by Yoav Duman  |  Instructor answers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 w:val="0"/>
      <w:spacing w:before="0" w:after="40" w:line="250" w:lineRule="exact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 w:val="0"/>
      <w:spacing w:before="0" w:after="40" w:line="280" w:lineRule="exact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 w:val="0"/>
      <w:spacing w:before="0" w:after="40" w:line="250" w:lineRule="exact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widowControl w:val="0"/>
      <w:spacing w:after="40" w:line="400" w:lineRule="exact" w:before="0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Shared Country Answers and Outcomes</dc:title>
  <dc:subject>Federalism classroom simulation</dc:subject>
  <dc:creator>Yoav Duman</dc:creator>
  <cp:keywords/>
  <dc:description>generated by python-docx</dc:description>
  <cp:lastModifiedBy>Yoav Duman</cp:lastModifiedBy>
  <cp:revision>1</cp:revision>
  <dcterms:created xsi:type="dcterms:W3CDTF">2013-12-23T23:15:00Z</dcterms:created>
  <dcterms:modified xsi:type="dcterms:W3CDTF">2013-12-23T23:15:00Z</dcterms:modified>
  <cp:category/>
</cp:coreProperties>
</file>