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World We Make</w:t>
      </w:r>
    </w:p>
    <w:p>
      <w:pPr>
        <w:pStyle w:val="Subtitle"/>
      </w:pPr>
      <w:r>
        <w:t>Instructor guide</w:t>
      </w:r>
    </w:p>
    <w:p>
      <w:r>
        <w:t>Created by Yoav Duman  |  October 2026</w:t>
      </w:r>
    </w:p>
    <w:p>
      <w:r>
        <w:t>Use this five-episode inquiry to teach constructivist explanations alongside material pressures and institutional incentives. Students work with dated records, test small models, write twelve short explanations, and revisit their initial prediction. The grading workspace brings their writing and relevant decisions together for manual assessment.</w:t>
      </w:r>
    </w:p>
    <w:p>
      <w:pPr>
        <w:pStyle w:val="Heading2"/>
      </w:pPr>
      <w:r>
        <w:t>Plan the assignment</w:t>
      </w:r>
    </w:p>
    <w:p>
      <w:r>
        <w:t>Allow an estimated 60–90 minutes for independent work, then 15–20 minutes for discussion. The estimate has not been established through recruited student timing trials. For two sessions, use episodes one to three for the Cold War case and episodes four to five for the landmine campaign and transfer.</w:t>
      </w:r>
    </w:p>
    <w:p>
      <w:r>
        <w:t>The game supplies orientation and concept help. Introduce ideas, relational identity, interests, norms, and the distinction between consequences and appropriateness before or during play. Students should be able to explain a causal connection in ordinary language; vocabulary alone does not demonstrate it.</w:t>
      </w:r>
    </w:p>
    <w:p>
      <w:pPr>
        <w:pStyle w:val="Heading2"/>
      </w:pPr>
      <w:r>
        <w:t>Learning goals</w:t>
      </w:r>
    </w:p>
    <w:p>
      <w:pPr>
        <w:pStyle w:val="ListBullet"/>
      </w:pPr>
      <w:r>
        <w:t>Explain why material capabilities acquire different meanings within relationships, and how ideas about security can shape the aims actors pursue.</w:t>
      </w:r>
    </w:p>
    <w:p>
      <w:pPr>
        <w:pStyle w:val="ListBullet"/>
      </w:pPr>
      <w:r>
        <w:t>Distinguish who actors understand themselves to be from the aims they value. Trace how interaction and practice can reproduce or change identities, expectations and interests.</w:t>
      </w:r>
    </w:p>
    <w:p>
      <w:pPr>
        <w:pStyle w:val="ListBullet"/>
      </w:pPr>
      <w:r>
        <w:t>Identify whose shared expectation makes conduct appropriate, and distinguish conduct understood as a duty from compliance for expected costs, rewards or penalties.</w:t>
      </w:r>
    </w:p>
    <w:p>
      <w:pPr>
        <w:pStyle w:val="ListBullet"/>
      </w:pPr>
      <w:r>
        <w:t>Investigate how advocates, states, affected communities and institutions promote or contest norms, while examining unequal influence, authorized commitment and implementation.</w:t>
      </w:r>
    </w:p>
    <w:p>
      <w:pPr>
        <w:pStyle w:val="ListBullet"/>
      </w:pPr>
      <w:r>
        <w:t>Compare ideas, identity and norm explanations with material pressures and institutional incentives using dated evidence, a serious rival and a changed-condition transfer case.</w:t>
      </w:r>
    </w:p>
    <w:p>
      <w:pPr>
        <w:pStyle w:val="Heading2"/>
      </w:pPr>
      <w:r>
        <w:t>What remains required</w:t>
      </w:r>
    </w:p>
    <w:p>
      <w:r>
        <w:t>All twelve writing tasks and the episode-three P01 revisit remain. The default range is 15–25 words for each recorded explanation. Earlier versions and drafts remain available. The compact report changes the reading layout, not the amount of writing students must complete.</w:t>
      </w:r>
    </w:p>
    <w:p>
      <w:r>
        <w:br w:type="page"/>
      </w:r>
    </w:p>
    <w:p>
      <w:pPr>
        <w:pStyle w:val="Heading1"/>
      </w:pPr>
      <w:r>
        <w:t>Run the five episodes</w:t>
      </w:r>
    </w:p>
    <w:p>
      <w:pPr>
        <w:pStyle w:val="Heading2"/>
      </w:pPr>
      <w:r>
        <w:t>One  Geneva</w:t>
      </w:r>
    </w:p>
    <w:p>
      <w:r>
        <w:t>Students inspect E01–E03, deliver a public finding to both delegation desks and record P01–P02. Ask how a declared role could affect expectations while weapons and disagreement remain.</w:t>
      </w:r>
    </w:p>
    <w:p>
      <w:pPr>
        <w:pStyle w:val="Heading2"/>
      </w:pPr>
      <w:r>
        <w:t>Two  Inspection and practice</w:t>
      </w:r>
    </w:p>
    <w:p>
      <w:r>
        <w:t>Students examine E04–E06, classify systems, establish reciprocal bounded access and deliver inspection findings. They enact a first encounter, carry its receipt to the US desk, and return for the second encounter before P04. Recognition of an inspector’s role and information about compliance are distinct effects.</w:t>
      </w:r>
    </w:p>
    <w:p>
      <w:pPr>
        <w:pStyle w:val="Heading2"/>
      </w:pPr>
      <w:r>
        <w:t>Three  Explaining change</w:t>
      </w:r>
    </w:p>
    <w:p>
      <w:r>
        <w:t>Students compare E07–E10, inspect D01, construct a three-record mechanism board with a rival account, complete P05–P07 and revisit P01 after E09. Private minutes can complicate a public claim without proving sincerity. E09 cannot be delivered as a public finding at the historical desks.</w:t>
      </w:r>
    </w:p>
    <w:p>
      <w:pPr>
        <w:pStyle w:val="Heading2"/>
      </w:pPr>
      <w:r>
        <w:t>Four  The ban campaign</w:t>
      </w:r>
    </w:p>
    <w:p>
      <w:r>
        <w:t>Students inspect E11–E15, connect affected communities and organizers to governmental authority, deliver findings and test a coalition strategy before P08–P10. Require attention to the selected route, voice arrangement and implementation tradeoff. Model staff-week costs are invented teaching assumptions.</w:t>
      </w:r>
    </w:p>
    <w:p>
      <w:pPr>
        <w:pStyle w:val="Heading2"/>
      </w:pPr>
      <w:r>
        <w:t>Five  Inference and transfer</w:t>
      </w:r>
    </w:p>
    <w:p>
      <w:r>
        <w:t>Students examine E16 and D03, distinguish kinds of support, complete the final factual checks and apply an explanation to a changed condition in P11–P12. A vote, signature, binding party status and internalized duty are different claims.</w:t>
      </w:r>
    </w:p>
    <w:p>
      <w:pPr>
        <w:pStyle w:val="Heading2"/>
      </w:pPr>
      <w:r>
        <w:t>Keep navigation from taking over</w:t>
      </w:r>
    </w:p>
    <w:p>
      <w:r>
        <w:t>Ask students to use the current mission and Notebook rather than repeatedly searching the district. Long workshop dialogs can require substantial scrolling on a phone. Allow a larger screen or breaks where possible. Do not use the game’s activity counter as time on task; dialog reading is not fully counted.</w:t>
      </w:r>
    </w:p>
    <w:p>
      <w:r>
        <w:br w:type="page"/>
      </w:r>
    </w:p>
    <w:p>
      <w:pPr>
        <w:pStyle w:val="Heading1"/>
      </w:pPr>
      <w:r>
        <w:t>Collect and grade submissions</w:t>
      </w:r>
    </w:p>
    <w:p>
      <w:pPr>
        <w:pStyle w:val="Heading2"/>
      </w:pPr>
      <w:r>
        <w:t>Collect a report and its assessment data</w:t>
      </w:r>
    </w:p>
    <w:p>
      <w:r>
        <w:t>Assign For class. Ask for the Assessment view PDF or HTML plus “Assessment data / resumable save (.json).” Download the JSON submissions from your normal course system. A PDF alone cannot enter the batch reviewer. No work is sent to you automatically.</w:t>
      </w:r>
    </w:p>
    <w:p>
      <w:pPr>
        <w:pStyle w:val="Heading2"/>
      </w:pPr>
      <w:r>
        <w:t>Open the grading workspace</w:t>
      </w:r>
    </w:p>
    <w:p>
      <w:r>
        <w:t>Open Instructor desk, enter 5907, and choose Open instructor grading workspace. The code is a convenience setting, not secure authentication. Import student files together. The workspace supports up to 100 runs; use separate backed-up batches for larger cohorts. Do not import the full game HTML as a student save.</w:t>
      </w:r>
    </w:p>
    <w:p>
      <w:pPr>
        <w:pStyle w:val="Heading2"/>
      </w:pPr>
      <w:r>
        <w:t>Read consistently</w:t>
      </w:r>
    </w:p>
    <w:p>
      <w:r>
        <w:t>Use One question across students to calibrate judgments and reduce repeated source lookup. Use All questions for one student to follow the whole argument. Each response includes the prompt, relevant records, teacher guidance, and modeled context where relevant. P01 places initial and later accounts together. Expand earlier versions when the development of an answer matters.</w:t>
      </w:r>
    </w:p>
    <w:p>
      <w:r>
        <w:t>Select a manual score from 0 to 3. The editable comment buttons provide starting points for feedback; tailor them to the actual reasoning. No score is generated automatically. The twelve questions are equally weighted for a total of 36. Before all current answers are scored, the workspace shows a subtotal rather than a finished grade.</w:t>
      </w:r>
    </w:p>
    <w:p>
      <w:pPr>
        <w:pStyle w:val="Heading2"/>
      </w:pPr>
      <w:r>
        <w:t>Return feedback and keep a backup</w:t>
      </w:r>
    </w:p>
    <w:p>
      <w:r>
        <w:t>Select a student and download the feedback HTML; print it to PDF if desired. Export the class CSV for your records and download the grading backup JSON after a grading session. The CSV is a summary, not an automatic LMS import. The grading backup includes imported runs and your feedback; the student resumable save is a different file.</w:t>
      </w:r>
    </w:p>
    <w:p>
      <w:r>
        <w:t>Names, responses and grades remain in this browser. The grader does not upload them to a server. Browser clearing or storage limits can remove local work, so keep the backup in your normal protected course storage. Restore grading backup replaces the current grading workspace after confirmation.</w:t>
      </w:r>
    </w:p>
    <w:p>
      <w:pPr>
        <w:pStyle w:val="Heading2"/>
      </w:pPr>
      <w:r>
        <w:t>Handle resubmissions</w:t>
      </w:r>
    </w:p>
    <w:p>
      <w:r>
        <w:t>A matching name and run-start time updates an existing run; an older file is skipped. A newly started game is a separate run. Changed responses or relevant decisions mark earlier scores as needing review. Click a score after rereading to validate it; editing a comment alone does not validate an old score.</w:t>
      </w:r>
    </w:p>
    <w:p>
      <w:r>
        <w:br w:type="page"/>
      </w:r>
    </w:p>
    <w:p>
      <w:pPr>
        <w:pStyle w:val="Heading1"/>
      </w:pPr>
      <w:r>
        <w:t>Use the rubric fairly</w:t>
      </w:r>
    </w:p>
    <w:p>
      <w:r>
        <w:t>Apply this suggested common scale in relation to each prompt’s demands. The interface stores one holistic score per question. P01 includes the initial prediction and evidence-based revisit; do not penalize an initial hypothesis merely because later records challenge it.</w:t>
      </w:r>
    </w:p>
    <w:p>
      <w:pPr>
        <w:pStyle w:val="Heading2"/>
      </w:pPr>
      <w:r>
        <w:t>3  Strong</w:t>
      </w:r>
    </w:p>
    <w:p>
      <w:r>
        <w:t>Explains a clear mechanism, uses the relevant record or enacted choice precisely, and addresses the relevant limit, rival or conditional test the prompt asks for.</w:t>
      </w:r>
    </w:p>
    <w:p>
      <w:pPr>
        <w:pStyle w:val="Heading2"/>
      </w:pPr>
      <w:r>
        <w:t>2  Meets expectations</w:t>
      </w:r>
    </w:p>
    <w:p>
      <w:r>
        <w:t>Answers the central question with a defensible causal connection and relevant support. Minor imprecision does not undermine the explanation.</w:t>
      </w:r>
    </w:p>
    <w:p>
      <w:pPr>
        <w:pStyle w:val="Heading2"/>
      </w:pPr>
      <w:r>
        <w:t>1  Developing</w:t>
      </w:r>
    </w:p>
    <w:p>
      <w:r>
        <w:t>Identifies a relevant idea but the mechanism, evidence link or requested comparison remains incomplete or unclear.</w:t>
      </w:r>
    </w:p>
    <w:p>
      <w:pPr>
        <w:pStyle w:val="Heading2"/>
      </w:pPr>
      <w:r>
        <w:t>0  Not demonstrated</w:t>
      </w:r>
    </w:p>
    <w:p>
      <w:r>
        <w:t>No assessable response, an irrelevant answer, or a central conceptual error that prevents the requested reasoning from being demonstrated.</w:t>
      </w:r>
    </w:p>
    <w:p>
      <w:pPr>
        <w:pStyle w:val="Heading2"/>
      </w:pPr>
      <w:r>
        <w:t>Use review notes as prompts to inspect</w:t>
      </w:r>
    </w:p>
    <w:p>
      <w:r>
        <w:t>Missing answers, unrecorded drafts, identical responses, highly repetitive wording and decisions changed after writing are review notes. They are not automatic penalties or plagiarism findings. A student may submit a legitimate unchanged claim with new support; unchanged prose alone is not evidence of substantive revision.</w:t>
      </w:r>
    </w:p>
    <w:p>
      <w:pPr>
        <w:pStyle w:val="Heading2"/>
      </w:pPr>
      <w:r>
        <w:t>Protect disagreement</w:t>
      </w:r>
    </w:p>
    <w:p>
      <w:r>
        <w:t>Reward a supported explanation even when it challenges a constructivist account or the model’s costs. Material pressures, information, changing aims and duties can coexist. Require a credible rival rather than a caricature. Do not grade agreement with a humanitarian policy position or equate cooperation with internalized norms.</w:t>
      </w:r>
    </w:p>
    <w:p>
      <w:pPr>
        <w:pStyle w:val="Heading2"/>
      </w:pPr>
      <w:r>
        <w:t>Accommodations</w:t>
      </w:r>
    </w:p>
    <w:p>
      <w:r>
        <w:t>The instructor desk can adjust the completion word range within its available settings. The report records that adjustment. Keep the intellectual task while allowing the student’s approved accommodation. A complete game can still contain a newer unrecorded draft; use the report’s note to clarify the intended submission.</w:t>
      </w:r>
    </w:p>
    <w:p>
      <w:r>
        <w:br w:type="page"/>
      </w:r>
    </w:p>
    <w:p>
      <w:pPr>
        <w:pStyle w:val="Heading1"/>
      </w:pPr>
      <w:r>
        <w:t>Question specific assessment cues</w:t>
      </w:r>
    </w:p>
    <w:p>
      <w:pPr>
        <w:pStyle w:val="Heading2"/>
      </w:pPr>
      <w:r>
        <w:t>P01  Your first prediction</w:t>
      </w:r>
    </w:p>
    <w:p>
      <w:r>
        <w:t>An initial causal expectation, preserved for later comparison. No prior knowledge of constructivism is required.</w:t>
      </w:r>
    </w:p>
    <w:p>
      <w:pPr>
        <w:pStyle w:val="Heading2"/>
      </w:pPr>
      <w:r>
        <w:t>P02  Who are we to each other</w:t>
      </w:r>
    </w:p>
    <w:p>
      <w:r>
        <w:t>Names a particular self/other role or relationship and explains how it could shape an expectation. Distinguishes an identity claim from a material capability or an interest; does not assume the other audience accepts the role.</w:t>
      </w:r>
    </w:p>
    <w:p>
      <w:pPr>
        <w:pStyle w:val="Heading2"/>
      </w:pPr>
      <w:r>
        <w:t>P03  The same visitor, a new role</w:t>
      </w:r>
    </w:p>
    <w:p>
      <w:r>
        <w:t>Explains how reciprocal recognition constitutes a bounded inspector role, while distinguishing that role from information about compliance. Can identify an appropriate duty without assuming shared friendship, internalization or transformed security interests.</w:t>
      </w:r>
    </w:p>
    <w:p>
      <w:pPr>
        <w:pStyle w:val="Heading2"/>
      </w:pPr>
      <w:r>
        <w:t>P04  Keep or revise after practice</w:t>
      </w:r>
    </w:p>
    <w:p>
      <w:r>
        <w:t>Uses the player’s enacted sequence to explain a changed or reproduced expectation, rather than equating cooperation with a new identity. Keeps or revises the original prediction with Reykjavík as a limit; accepts stable interests, monitoring incentives or combined explanations.</w:t>
      </w:r>
    </w:p>
    <w:p>
      <w:pPr>
        <w:pStyle w:val="Heading2"/>
      </w:pPr>
      <w:r>
        <w:t>P05  Can an idea change an aim</w:t>
      </w:r>
    </w:p>
    <w:p>
      <w:r>
        <w:t>Explains an idea → understanding of security → valued aim connection, not merely a change of rhetoric. Uses public/private comparison and a specific limit from E09; economic need, audience management and changed aims may coexist. Does not treat identity and interests as synonyms.</w:t>
      </w:r>
    </w:p>
    <w:p>
      <w:pPr>
        <w:pStyle w:val="Heading2"/>
      </w:pPr>
      <w:r>
        <w:t>P06  Recognition and rights</w:t>
      </w:r>
    </w:p>
    <w:p>
      <w:r>
        <w:t>Links a specific right or restriction to internationally recognized standing, rather than equating sovereignty with material control alone. Keeps the settlement’s legal provisions distinct from citizens’ varied identities and political projects.</w:t>
      </w:r>
    </w:p>
    <w:p>
      <w:r>
        <w:br w:type="page"/>
      </w:r>
    </w:p>
    <w:p>
      <w:pPr>
        <w:pStyle w:val="Heading1"/>
      </w:pPr>
      <w:r>
        <w:t>Later questions and discussion</w:t>
      </w:r>
    </w:p>
    <w:p>
      <w:pPr>
        <w:pStyle w:val="Heading2"/>
      </w:pPr>
      <w:r>
        <w:t>P07  A test that could change your mind</w:t>
      </w:r>
    </w:p>
    <w:p>
      <w:r>
        <w:t>Grounds a proposed discriminating observation in the missile-removal measure and states how rival explanations would interpret it differently. Distinguishes changed aims from new information or cheaper means to stable aims; allows combined causes and measurement limits.</w:t>
      </w:r>
    </w:p>
    <w:p>
      <w:pPr>
        <w:pStyle w:val="Heading2"/>
      </w:pPr>
      <w:r>
        <w:t>P08  Whose protection becomes a duty</w:t>
      </w:r>
    </w:p>
    <w:p>
      <w:r>
        <w:t>Explains a norm claim about whose protection governments should consider and identifies documented political agency behind it. Distinguishes a shared or contested expectation from personal sympathy, the existence of harm, a reward or an already binding universal rule.</w:t>
      </w:r>
    </w:p>
    <w:p>
      <w:pPr>
        <w:pStyle w:val="Heading2"/>
      </w:pPr>
      <w:r>
        <w:t>P09  From concern to commitment</w:t>
      </w:r>
    </w:p>
    <w:p>
      <w:r>
        <w:t>Names an organized action and a concrete route to an authorized state commitment. Explains the expectation being promoted without assuming NGOs can ratify treaties or persuasion automatically binds a state; institutions, strategic interests and incentives may contribute.</w:t>
      </w:r>
    </w:p>
    <w:p>
      <w:pPr>
        <w:pStyle w:val="Heading2"/>
      </w:pPr>
      <w:r>
        <w:t>P10  Defend a tradeoff</w:t>
      </w:r>
    </w:p>
    <w:p>
      <w:r>
        <w:t>Defends a concrete tradeoff against a credible objection, including an objection to the model’s assumed costs. Preserves authority, affected-community influence and implementation constraints; neither humanitarian language nor a favored route automatically proves duty or effectiveness.</w:t>
      </w:r>
    </w:p>
    <w:p>
      <w:pPr>
        <w:pStyle w:val="Heading2"/>
      </w:pPr>
      <w:r>
        <w:t>P11  Support is not a motive</w:t>
      </w:r>
    </w:p>
    <w:p>
      <w:r>
        <w:t>Distinguishes resolution support, signatures and party status, then gives the inferential reason counts do not distinguish an internalized expectation from compliance for incentives. Does not reduce a norm to law or equate one supportive act with internalization.</w:t>
      </w:r>
    </w:p>
    <w:p>
      <w:pPr>
        <w:pStyle w:val="Heading2"/>
      </w:pPr>
      <w:r>
        <w:t>P12  Transfer the explanation</w:t>
      </w:r>
    </w:p>
    <w:p>
      <w:r>
        <w:t>Gives a conditional observation that updates the relative plausibility of two mechanisms, such as a role or norm obligation and an incentive account. Where relevant, examines unequal power, excluded residents and who can challenge reports. Preserves uncertainty, possible hidden benefits and combined causes; neither cooperation nor hostility is inevitable.</w:t>
      </w:r>
    </w:p>
    <w:p>
      <w:r>
        <w:br w:type="page"/>
      </w:r>
    </w:p>
    <w:p>
      <w:pPr>
        <w:pStyle w:val="Heading1"/>
      </w:pPr>
      <w:r>
        <w:t>Debrief and preparation</w:t>
      </w:r>
    </w:p>
    <w:p>
      <w:pPr>
        <w:pStyle w:val="Heading2"/>
      </w:pPr>
      <w:r>
        <w:t>Discuss the evidence</w:t>
      </w:r>
    </w:p>
    <w:p>
      <w:pPr>
        <w:pStyle w:val="ListBullet"/>
      </w:pPr>
      <w:r>
        <w:t>Which record changed your account most? Explain the change in the mechanism, not only your confidence.</w:t>
      </w:r>
    </w:p>
    <w:p>
      <w:pPr>
        <w:pStyle w:val="ListBullet"/>
      </w:pPr>
      <w:r>
        <w:t>How could the same inspection reduce uncertainty and constitute a recognized role? What evidence would distinguish those effects?</w:t>
      </w:r>
    </w:p>
    <w:p>
      <w:pPr>
        <w:pStyle w:val="ListBullet"/>
      </w:pPr>
      <w:r>
        <w:t>When can an idea change what an actor wants, rather than supply a cheaper means to an unchanged aim?</w:t>
      </w:r>
    </w:p>
    <w:p>
      <w:pPr>
        <w:pStyle w:val="ListBullet"/>
      </w:pPr>
      <w:r>
        <w:t>Who could place civilian protection on the agenda, who could commit a government, and who remained excluded?</w:t>
      </w:r>
    </w:p>
    <w:p>
      <w:pPr>
        <w:pStyle w:val="ListBullet"/>
      </w:pPr>
      <w:r>
        <w:t>What would make the norm account more plausible than an incentive account in the changed-condition case? What would remain uncertain?</w:t>
      </w:r>
    </w:p>
    <w:p>
      <w:pPr>
        <w:pStyle w:val="Heading2"/>
      </w:pPr>
      <w:r>
        <w:t>Source boundaries</w:t>
      </w:r>
    </w:p>
    <w:p>
      <w:r>
        <w:t>Historical cards are sourced paraphrases; reconstructed guides and workshop responses are authored teaching material. The source companion retains links and each card’s limits. The selected archive cannot establish the total causes of the Cold War’s end or the landmine ban. The game’s map compresses different places and dates into a walkable research district.</w:t>
      </w:r>
    </w:p>
    <w:p>
      <w:r>
        <w:t>The landmine scenes stop at their displayed historical dates. Do not infer current treaty membership or compliance. The UN legal-history overview contains an entry-into-force typo; the game’s source note correctly gives 1 March 1999, with the UN Treaty Collection as the reference. Votes, signatures, ratification and entry into force must remain separate.</w:t>
      </w:r>
    </w:p>
    <w:p>
      <w:pPr>
        <w:pStyle w:val="Heading2"/>
      </w:pPr>
      <w:r>
        <w:t>Copy into the assignment</w:t>
      </w:r>
    </w:p>
    <w:p>
      <w:r>
        <w:t>Complete The World We Make in For class mode. Record P01–P12 and revisit P01 in episode three after E09. Use the assigned word range and support your reasoning with the relevant records or modeled choices. Before submitting, inspect the Assessment view and resolve unintended drafts. Submit the PDF or HTML assessment report and its assessment-data JSON through the course assignment. Keep your own save. Completion is not a quality grade; explanations are evaluated for mechanism, evidence, and the limits or comparisons each prompt requests.</w:t>
      </w:r>
    </w:p>
    <w:p>
      <w:pPr>
        <w:pStyle w:val="Heading2"/>
      </w:pPr>
      <w:r>
        <w:t>Technical scope</w:t>
      </w:r>
    </w:p>
    <w:p>
      <w:r>
        <w:t>The updated game passed a complete class playthrough and 43 grading checks in Chromium, including imports, feedback, backups and changed submissions. These checks do not establish compatibility with every browser or replace classroom trials. Safari and iPhone testing remains outstanding. A downloadable standalone game is included for use without a continuing internet connection; linked external sources still require access.</w:t>
      </w:r>
    </w:p>
    <w:p>
      <w:r>
        <w:t>Activity and materials: https://yoavduman.com/lab/the-world-we-make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World We Make Instructor guide</dc:title>
  <dc:subject/>
  <dc:creator>Yoav Duman</dc:creator>
  <cp:keywords/>
  <dc:description>generated by python-docx</dc:description>
  <cp:lastModifiedBy/>
  <cp:revision>1</cp:revision>
  <dcterms:created xsi:type="dcterms:W3CDTF">2013-12-23T23:15:00Z</dcterms:created>
  <dcterms:modified xsi:type="dcterms:W3CDTF">2013-12-23T23:15:00Z</dcterms:modified>
  <cp:category/>
</cp:coreProperties>
</file>